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418453</w:t>
      </w:r>
      <w:r>
        <w:rPr>
          <w:b/>
          <w:sz w:val="24"/>
          <w:szCs w:val="24"/>
          <w:highlight w:val="none"/>
        </w:rPr>
        <w:t xml:space="preserve">                      </w:t>
      </w:r>
    </w:p>
    <w:bookmarkEnd w:id="0"/>
    <w:bookmarkEnd w:id="1"/>
    <w:p w14:paraId="5C0D1D61">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4.1</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requirements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245C1F28">
            <w:pPr>
              <w:numPr>
                <w:ilvl w:val="0"/>
                <w:numId w:val="0"/>
              </w:numPr>
              <w:spacing w:after="0"/>
              <w:ind w:left="-60" w:leftChars="0"/>
              <w:rPr>
                <w:rFonts w:hint="default" w:ascii="Times New Roman" w:hAnsi="Times New Roman" w:cs="Times New Roman"/>
                <w:bCs/>
                <w:sz w:val="20"/>
                <w:szCs w:val="20"/>
              </w:rPr>
            </w:pPr>
          </w:p>
          <w:p w14:paraId="745D0ACD">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2BD3A40B">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5938EA54">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6B961F43">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7B4DDA58">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36D47822">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0585AF5C">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47D2E4C">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0B27DD74">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904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5486E75E">
            <w:pPr>
              <w:rPr>
                <w:rFonts w:hint="default" w:ascii="Times New Roman" w:hAnsi="Times New Roman" w:cs="Times New Roman"/>
                <w:b/>
                <w:sz w:val="20"/>
                <w:szCs w:val="20"/>
                <w:u w:val="single"/>
                <w:lang w:eastAsia="ko-KR"/>
              </w:rPr>
            </w:pPr>
            <w:bookmarkStart w:id="8" w:name="_Hlk179968294"/>
            <w:r>
              <w:rPr>
                <w:rFonts w:hint="default" w:ascii="Times New Roman" w:hAnsi="Times New Roman" w:cs="Times New Roman"/>
                <w:b/>
                <w:sz w:val="20"/>
                <w:szCs w:val="20"/>
                <w:u w:val="single"/>
                <w:lang w:eastAsia="ko-KR"/>
              </w:rPr>
              <w:t xml:space="preserve">Issue 2-3: </w:t>
            </w:r>
            <w:r>
              <w:rPr>
                <w:rFonts w:hint="default" w:ascii="Times New Roman" w:hAnsi="Times New Roman" w:eastAsia="游明朝" w:cs="Times New Roman"/>
                <w:b/>
                <w:sz w:val="20"/>
                <w:szCs w:val="20"/>
                <w:u w:val="single"/>
                <w:lang w:eastAsia="ja-JP"/>
              </w:rPr>
              <w:t>RSRP Absolute accuracy</w:t>
            </w:r>
          </w:p>
          <w:bookmarkEnd w:id="8"/>
          <w:p w14:paraId="3C316A27">
            <w:pPr>
              <w:spacing w:after="120"/>
              <w:rPr>
                <w:rFonts w:hint="default" w:ascii="Times New Roman" w:hAnsi="Times New Roman" w:eastAsia="游明朝" w:cs="Times New Roman"/>
                <w:sz w:val="20"/>
                <w:szCs w:val="20"/>
                <w:lang w:eastAsia="ja-JP"/>
              </w:rPr>
            </w:pPr>
            <w:bookmarkStart w:id="9" w:name="_Hlk179968300"/>
            <w:r>
              <w:rPr>
                <w:rFonts w:hint="default" w:ascii="Times New Roman" w:hAnsi="Times New Roman" w:eastAsia="游明朝" w:cs="Times New Roman"/>
                <w:sz w:val="20"/>
                <w:szCs w:val="20"/>
                <w:lang w:eastAsia="ja-JP"/>
              </w:rPr>
              <w:t>Agreement:</w:t>
            </w:r>
          </w:p>
          <w:p w14:paraId="3E7DABE1">
            <w:pPr>
              <w:pStyle w:val="10"/>
              <w:numPr>
                <w:ilvl w:val="0"/>
                <w:numId w:val="6"/>
              </w:numPr>
              <w:overflowPunct w:val="0"/>
              <w:autoSpaceDE w:val="0"/>
              <w:autoSpaceDN w:val="0"/>
              <w:adjustRightInd w:val="0"/>
              <w:spacing w:after="120"/>
              <w:ind w:firstLineChars="0"/>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9"/>
          </w:p>
        </w:tc>
      </w:tr>
    </w:tbl>
    <w:p w14:paraId="3A0AA10A">
      <w:pPr>
        <w:spacing w:after="180" w:line="240" w:lineRule="exact"/>
        <w:rPr>
          <w:rFonts w:hint="eastAsia" w:ascii="Times New Roman" w:hAnsi="Times New Roman" w:eastAsia="等线"/>
          <w:bCs/>
          <w:iCs/>
          <w:sz w:val="20"/>
          <w:szCs w:val="20"/>
          <w:lang w:val="en-US" w:eastAsia="zh-CN"/>
        </w:rPr>
      </w:pPr>
    </w:p>
    <w:p w14:paraId="1DC8277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part with square brackets in the agreement, we do not think it is necessary. In our view, the accuracy requirements should apply to all predicted beams, no need to limit to a subset of predicted beams, which are selected predefined side conditions. There are two reasons to suggest to apply the accuracy requirements to all predicted beams. On one hand, all the predicted/reported beams are benificial for network, for example, can be used for load balancing. On the other hand, the final reported beam index and/or related L1-RSRP are based on ranking of all the predicted beams. If the accuracy of some predicted beams are not guaranteed, it will have impact on the final decision of the reported beams.</w:t>
      </w:r>
    </w:p>
    <w:p w14:paraId="57C555A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 the RSRP absolute accuracy requirements apply to all predicted beams.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E77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6C0EA21">
            <w:pPr>
              <w:rPr>
                <w:rFonts w:hint="default" w:ascii="Times New Roman" w:hAnsi="Times New Roman" w:eastAsia="Yu Mincho" w:cs="Times New Roman"/>
                <w:iCs/>
                <w:color w:val="auto"/>
                <w:sz w:val="20"/>
                <w:szCs w:val="20"/>
                <w:lang w:val="en-US" w:eastAsia="ja-JP"/>
              </w:rPr>
            </w:pPr>
            <w:r>
              <w:rPr>
                <w:rFonts w:hint="default" w:ascii="Times New Roman" w:hAnsi="Times New Roman" w:eastAsia="Yu Mincho" w:cs="Times New Roman"/>
                <w:iCs/>
                <w:color w:val="auto"/>
                <w:sz w:val="20"/>
                <w:szCs w:val="20"/>
                <w:lang w:val="en-US" w:eastAsia="ja-JP"/>
              </w:rPr>
              <w:t>Different metrics/KPIs have been discussed and were captured in the TR:</w:t>
            </w:r>
          </w:p>
          <w:p w14:paraId="40130F9D">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For metrics for beam management requirements/tests, the following test metrics are identified and could be considered</w:t>
            </w:r>
          </w:p>
          <w:p w14:paraId="317E2F79">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Option 1: RSRP accuracy</w:t>
            </w:r>
          </w:p>
          <w:p w14:paraId="24071D98">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Option 2: Beam prediction accuracy</w:t>
            </w:r>
          </w:p>
          <w:p w14:paraId="7DB938C9">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-Top-1 (%) : the percentage of "the Top-1 strongest beam is Top-1 predicted beam"</w:t>
            </w:r>
          </w:p>
          <w:p w14:paraId="3796A100">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-Top-K/1 (%) : the percentage of "the Top-1 strongest beam is one of the Top-K predicted beams"</w:t>
            </w:r>
          </w:p>
          <w:p w14:paraId="716DE1E1">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-Top-1/K (%) : the percentage of "the Top-1 predicted beam is one of the Top-K strongest beams"</w:t>
            </w:r>
          </w:p>
          <w:p w14:paraId="6A81E0D0">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 xml:space="preserve">Option 3: The successful rate for the correct prediction which is considered as maximum RSRP among top-K predicted beams is larger than the RSRP of the strongest beam – x dB, </w:t>
            </w:r>
          </w:p>
          <w:p w14:paraId="0D5D57EF">
            <w:pPr>
              <w:ind w:left="284" w:firstLine="284"/>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-Related measurement accuracy can be considered to determine x</w:t>
            </w:r>
          </w:p>
          <w:p w14:paraId="50E40C8A">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w:t>
            </w:r>
            <w:r>
              <w:rPr>
                <w:rFonts w:hint="default" w:ascii="Times New Roman" w:hAnsi="Times New Roman" w:eastAsia="Yu Mincho" w:cs="Times New Roman"/>
                <w:iCs/>
                <w:color w:val="auto"/>
                <w:sz w:val="20"/>
                <w:szCs w:val="20"/>
                <w:lang w:eastAsia="ja-JP"/>
              </w:rPr>
              <w:tab/>
            </w:r>
            <w:r>
              <w:rPr>
                <w:rFonts w:hint="default" w:ascii="Times New Roman" w:hAnsi="Times New Roman" w:eastAsia="Yu Mincho" w:cs="Times New Roman"/>
                <w:iCs/>
                <w:color w:val="auto"/>
                <w:sz w:val="20"/>
                <w:szCs w:val="20"/>
                <w:lang w:eastAsia="ja-JP"/>
              </w:rPr>
              <w:t>Option 4: combinations of above options</w:t>
            </w:r>
          </w:p>
          <w:p w14:paraId="5E126E5B">
            <w:pPr>
              <w:rPr>
                <w:rFonts w:hint="default" w:ascii="Times New Roman" w:hAnsi="Times New Roman" w:eastAsia="Yu Mincho" w:cs="Times New Roman"/>
                <w:i/>
                <w:color w:val="auto"/>
                <w:sz w:val="20"/>
                <w:szCs w:val="20"/>
                <w:lang w:val="en-US" w:eastAsia="ja-JP"/>
              </w:rPr>
            </w:pPr>
          </w:p>
          <w:p w14:paraId="4E7A30B9">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 xml:space="preserve">Issue 2-7: </w:t>
            </w:r>
            <w:r>
              <w:rPr>
                <w:rFonts w:hint="default" w:ascii="Times New Roman" w:hAnsi="Times New Roman" w:eastAsia="Yu Mincho" w:cs="Times New Roman"/>
                <w:b/>
                <w:color w:val="auto"/>
                <w:sz w:val="20"/>
                <w:szCs w:val="20"/>
                <w:u w:val="single"/>
                <w:lang w:eastAsia="ja-JP"/>
              </w:rPr>
              <w:t>Metrics/KPIs for beam prediction</w:t>
            </w:r>
          </w:p>
          <w:p w14:paraId="5C147898">
            <w:p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Proposals</w:t>
            </w:r>
          </w:p>
          <w:p w14:paraId="0C304C9E">
            <w:pPr>
              <w:numPr>
                <w:ilvl w:val="1"/>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1: Use Option 1</w:t>
            </w:r>
          </w:p>
          <w:p w14:paraId="5FA5EAF0">
            <w:pPr>
              <w:numPr>
                <w:ilvl w:val="1"/>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2: Use Option 2</w:t>
            </w:r>
          </w:p>
          <w:p w14:paraId="1E1CF816">
            <w:pPr>
              <w:numPr>
                <w:ilvl w:val="1"/>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3: Use combined Option 2 and 3:</w:t>
            </w:r>
          </w:p>
          <w:p w14:paraId="45591BA6">
            <w:pPr>
              <w:numPr>
                <w:ilvl w:val="2"/>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Option-New: The successful rate for the correct prediction which is considered as "the Top-1 predicted beam is one of the Top-K strongest beams, and the Top-1 predicted beam’s ground truth RSRP value is larger than the RSRP of the strongest beam – x dB”</w:t>
            </w:r>
          </w:p>
          <w:p w14:paraId="685B36FA">
            <w:pPr>
              <w:numPr>
                <w:ilvl w:val="2"/>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FFS: K = 2 and x = 3 as baseline</w:t>
            </w:r>
          </w:p>
          <w:p w14:paraId="72C5DCD6">
            <w:pPr>
              <w:numPr>
                <w:ilvl w:val="1"/>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4: Neither Option 1, 2, 3 is appropriate, a new metric is needed</w:t>
            </w:r>
          </w:p>
          <w:p w14:paraId="788BB830">
            <w:pPr>
              <w:numPr>
                <w:ilvl w:val="1"/>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5: Consider reliability metric based on relative difference in between the predictions due to change in the conditions/inputs.</w:t>
            </w:r>
          </w:p>
          <w:p w14:paraId="1106CC75">
            <w:pPr>
              <w:numPr>
                <w:ilvl w:val="2"/>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consider defining multiple tests under different conditions but with the same outcome(same predicted beam)</w:t>
            </w:r>
          </w:p>
          <w:p w14:paraId="727FA5BE">
            <w:pPr>
              <w:numPr>
                <w:ilvl w:val="1"/>
                <w:numId w:val="7"/>
              </w:numPr>
              <w:rPr>
                <w:rFonts w:hint="default" w:ascii="Times New Roman" w:hAnsi="Times New Roman" w:eastAsia="Yu Mincho" w:cs="Times New Roman"/>
                <w:iCs/>
                <w:color w:val="auto"/>
                <w:sz w:val="20"/>
                <w:szCs w:val="20"/>
                <w:lang w:eastAsia="ja-JP"/>
              </w:rPr>
            </w:pPr>
            <w:r>
              <w:rPr>
                <w:rFonts w:hint="default" w:ascii="Times New Roman" w:hAnsi="Times New Roman" w:eastAsia="Yu Mincho" w:cs="Times New Roman"/>
                <w:iCs/>
                <w:color w:val="auto"/>
                <w:sz w:val="20"/>
                <w:szCs w:val="20"/>
                <w:lang w:eastAsia="ja-JP"/>
              </w:rPr>
              <w:t>Option 6: Other</w:t>
            </w:r>
          </w:p>
          <w:p w14:paraId="3EC81E9B">
            <w:pPr>
              <w:spacing w:after="180" w:line="240" w:lineRule="exact"/>
              <w:rPr>
                <w:rFonts w:hint="default" w:ascii="Times New Roman" w:hAnsi="Times New Roman" w:eastAsia="等线" w:cs="Times New Roman"/>
                <w:bCs/>
                <w:iCs/>
                <w:color w:val="auto"/>
                <w:sz w:val="20"/>
                <w:szCs w:val="20"/>
                <w:vertAlign w:val="baseline"/>
                <w:lang w:val="en-US" w:eastAsia="zh-CN"/>
              </w:rPr>
            </w:pPr>
          </w:p>
        </w:tc>
      </w:tr>
    </w:tbl>
    <w:p w14:paraId="522F3DA8">
      <w:pPr>
        <w:spacing w:after="180" w:line="240" w:lineRule="exact"/>
        <w:rPr>
          <w:rFonts w:hint="eastAsia" w:ascii="Times New Roman" w:hAnsi="Times New Roman" w:eastAsia="等线"/>
          <w:bCs/>
          <w:iCs/>
          <w:sz w:val="20"/>
          <w:szCs w:val="20"/>
          <w:lang w:val="en-US" w:eastAsia="zh-CN"/>
        </w:rPr>
      </w:pPr>
    </w:p>
    <w:p w14:paraId="46F5A85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beam management, both spatial-domain DL beam prediction and temporal DL beam prediction are considered. For metrics for beam management requirements/tests, the following test metrics are identified [6] and be further discussed in the WID phase .</w:t>
      </w:r>
    </w:p>
    <w:p w14:paraId="078BCB89">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1: RSRP accuracy</w:t>
      </w:r>
    </w:p>
    <w:p w14:paraId="4F641183">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Beam prediction accuracy</w:t>
      </w:r>
    </w:p>
    <w:p w14:paraId="32228BEC">
      <w:pPr>
        <w:numPr>
          <w:ilvl w:val="1"/>
          <w:numId w:val="8"/>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Top-1 (%) : the percentage of “the Top-1 strongest beam is Top-1 predicted beam”</w:t>
      </w:r>
    </w:p>
    <w:p w14:paraId="3354BCD0">
      <w:pPr>
        <w:numPr>
          <w:ilvl w:val="1"/>
          <w:numId w:val="8"/>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Top-K/1 (%) : the percentage of “the Top-1 strongest beam is one of the Top-K predicted beams”</w:t>
      </w:r>
    </w:p>
    <w:p w14:paraId="0AC4D3A6">
      <w:pPr>
        <w:numPr>
          <w:ilvl w:val="1"/>
          <w:numId w:val="8"/>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Top-1/K (%) : the percentage of “the Top-1 predicted beam is one of the Top-K strongest beams”</w:t>
      </w:r>
    </w:p>
    <w:p w14:paraId="4B554680">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3: The successful rate for the correct prediction which is considered as maximum RSRP among top-K predicted beams is larger than the RSRP of the strongest beam – x dB, </w:t>
      </w:r>
    </w:p>
    <w:p w14:paraId="23D376E0">
      <w:pPr>
        <w:numPr>
          <w:ilvl w:val="1"/>
          <w:numId w:val="8"/>
        </w:numPr>
        <w:spacing w:after="180" w:line="240" w:lineRule="exact"/>
        <w:ind w:left="84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Related measurement accuracy can be considered to determine x</w:t>
      </w:r>
    </w:p>
    <w:p w14:paraId="6E497B1C">
      <w:pPr>
        <w:numPr>
          <w:ilvl w:val="0"/>
          <w:numId w:val="8"/>
        </w:numPr>
        <w:spacing w:after="180" w:line="240" w:lineRule="exact"/>
        <w:ind w:left="420" w:leftChars="0" w:hanging="420" w:firstLineChars="0"/>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4: combinations of above options</w:t>
      </w:r>
    </w:p>
    <w:p w14:paraId="77CC4DBE">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From our point of view, both RSRP accuracy and beam prediction accuracy are proposed to be considered as metrics for requirements/tests, since the two metrics verify the inference performance from different perspective. Beam prediction accuracy (absolute or relative) is similar like existing L1-RSRP measurement accuracy. For example, the absolute prediction accuracy is the difference between predict L1-RSRP and ideal L1-RSRP.  Beam prediction accuracy is used to reflect the percentage that the predict beam is the “genie-aided” beam. Having good RSRP accuracy does not mean that the beam prediction accuracy is good, vice versa.  </w:t>
      </w:r>
    </w:p>
    <w:p w14:paraId="1E0A7C8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it is proposed that both the RSRP accuracy and beam prediction accuracy are the metrics/KPIs for beam prediction.</w:t>
      </w: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bookmarkStart w:id="10" w:name="_GoBack"/>
      <w:bookmarkEnd w:id="10"/>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5CF5B76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it is proposed that the RSRP absolute accuracy requirements apply to all predicted beams.</w:t>
      </w:r>
    </w:p>
    <w:p w14:paraId="6C9192EB">
      <w:pPr>
        <w:spacing w:after="180" w:line="240" w:lineRule="exact"/>
        <w:rPr>
          <w:rFonts w:hint="eastAsia" w:ascii="Times New Roman" w:hAnsi="Times New Roman"/>
          <w:sz w:val="20"/>
          <w:szCs w:val="20"/>
        </w:rPr>
      </w:pPr>
      <w:r>
        <w:rPr>
          <w:rFonts w:hint="eastAsia" w:ascii="Times New Roman" w:hAnsi="Times New Roman" w:eastAsia="等线"/>
          <w:b/>
          <w:bCs w:val="0"/>
          <w:i/>
          <w:iCs w:val="0"/>
          <w:sz w:val="20"/>
          <w:szCs w:val="20"/>
          <w:lang w:val="en-US" w:eastAsia="zh-CN"/>
        </w:rPr>
        <w:t>Proposal 2: it is proposed that both the RSRP accuracy and beam prediction accuracy are the metrics/KPIs for beam prediction.</w:t>
      </w: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2"/>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2"/>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2B1A7047">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2"/>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2"/>
        <w:framePr w:wrap="auto" w:vAnchor="margin" w:hAnchor="text" w:yAlign="inline"/>
        <w:ind w:right="400"/>
        <w:jc w:val="both"/>
        <w:rPr>
          <w:rFonts w:ascii="Times" w:hAnsi="Times" w:eastAsia="宋体"/>
          <w:b w:val="0"/>
          <w:sz w:val="20"/>
          <w:lang w:eastAsia="zh-CN"/>
        </w:rPr>
      </w:pPr>
    </w:p>
    <w:p w14:paraId="3E9138E2">
      <w:pPr>
        <w:pStyle w:val="12"/>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D03B64"/>
    <w:multiLevelType w:val="multilevel"/>
    <w:tmpl w:val="B6D03B6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2166B7"/>
    <w:multiLevelType w:val="multilevel"/>
    <w:tmpl w:val="322166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2645E"/>
    <w:rsid w:val="0FE50EF5"/>
    <w:rsid w:val="15685863"/>
    <w:rsid w:val="15C5068C"/>
    <w:rsid w:val="19D35C0A"/>
    <w:rsid w:val="1A4B52AF"/>
    <w:rsid w:val="24BB4727"/>
    <w:rsid w:val="295E6B72"/>
    <w:rsid w:val="308E7578"/>
    <w:rsid w:val="3295408B"/>
    <w:rsid w:val="3ADD5C61"/>
    <w:rsid w:val="3DEF01B7"/>
    <w:rsid w:val="4B525B6F"/>
    <w:rsid w:val="4D3D03C8"/>
    <w:rsid w:val="4D85114F"/>
    <w:rsid w:val="5E2B562E"/>
    <w:rsid w:val="5ED80E84"/>
    <w:rsid w:val="6A52659E"/>
    <w:rsid w:val="6D205895"/>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2024-11-08T09:21:27Z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